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黑体" w:hAnsi="黑体" w:eastAsia="黑体" w:cs="黑体"/>
          <w:b/>
          <w:spacing w:val="-17"/>
          <w:kern w:val="0"/>
          <w:sz w:val="28"/>
          <w:szCs w:val="28"/>
          <w:lang w:val="en-US" w:eastAsia="zh-CN"/>
        </w:rPr>
      </w:pPr>
      <w:r>
        <w:rPr>
          <w:rFonts w:hint="eastAsia" w:ascii="黑体" w:hAnsi="黑体" w:eastAsia="黑体" w:cs="黑体"/>
          <w:b/>
          <w:spacing w:val="-17"/>
          <w:kern w:val="0"/>
          <w:sz w:val="28"/>
          <w:szCs w:val="28"/>
          <w:lang w:val="en-US" w:eastAsia="zh-CN"/>
        </w:rPr>
        <w:t>公告13：</w:t>
      </w:r>
    </w:p>
    <w:p>
      <w:pPr>
        <w:widowControl/>
        <w:jc w:val="center"/>
        <w:rPr>
          <w:rFonts w:hint="eastAsia" w:ascii="黑体" w:hAnsi="黑体" w:eastAsia="黑体" w:cs="黑体"/>
          <w:b/>
          <w:spacing w:val="-17"/>
          <w:kern w:val="0"/>
          <w:sz w:val="44"/>
          <w:szCs w:val="44"/>
        </w:rPr>
      </w:pPr>
      <w:r>
        <w:rPr>
          <w:rFonts w:hint="eastAsia" w:ascii="黑体" w:hAnsi="黑体" w:eastAsia="黑体" w:cs="黑体"/>
          <w:b/>
          <w:spacing w:val="-17"/>
          <w:kern w:val="0"/>
          <w:sz w:val="44"/>
          <w:szCs w:val="44"/>
          <w:lang w:val="en-US" w:eastAsia="zh-CN"/>
        </w:rPr>
        <w:t>河南能源</w:t>
      </w:r>
      <w:r>
        <w:rPr>
          <w:rFonts w:hint="eastAsia" w:ascii="黑体" w:hAnsi="黑体" w:eastAsia="黑体" w:cs="黑体"/>
          <w:b/>
          <w:spacing w:val="-17"/>
          <w:kern w:val="0"/>
          <w:sz w:val="44"/>
          <w:szCs w:val="44"/>
        </w:rPr>
        <w:t>“揭榜挂帅”科技项目榜单公告内容</w:t>
      </w:r>
    </w:p>
    <w:p>
      <w:pPr>
        <w:pStyle w:val="2"/>
        <w:rPr>
          <w:rFonts w:hint="eastAsia"/>
          <w:highlight w:val="none"/>
        </w:rPr>
      </w:pPr>
    </w:p>
    <w:p>
      <w:pPr>
        <w:widowControl/>
        <w:ind w:firstLine="640" w:firstLineChars="200"/>
        <w:jc w:val="left"/>
        <w:rPr>
          <w:rFonts w:hint="eastAsia" w:ascii="黑体" w:hAnsi="黑体" w:eastAsia="黑体" w:cs="黑体"/>
          <w:kern w:val="0"/>
          <w:sz w:val="32"/>
          <w:szCs w:val="32"/>
          <w:highlight w:val="none"/>
        </w:rPr>
      </w:pPr>
      <w:r>
        <w:rPr>
          <w:rFonts w:hint="eastAsia" w:ascii="黑体" w:hAnsi="黑体" w:eastAsia="黑体" w:cs="黑体"/>
          <w:kern w:val="0"/>
          <w:sz w:val="32"/>
          <w:szCs w:val="32"/>
          <w:highlight w:val="none"/>
        </w:rPr>
        <w:t>一、榜单名称</w:t>
      </w:r>
    </w:p>
    <w:p>
      <w:pPr>
        <w:widowControl/>
        <w:ind w:firstLine="643" w:firstLineChars="200"/>
        <w:rPr>
          <w:rFonts w:hint="eastAsia" w:ascii="仿宋" w:hAnsi="仿宋" w:eastAsia="仿宋" w:cs="仿宋"/>
          <w:bCs/>
          <w:sz w:val="32"/>
          <w:szCs w:val="32"/>
          <w:lang w:val="en-US" w:eastAsia="zh-CN"/>
        </w:rPr>
      </w:pPr>
      <w:r>
        <w:rPr>
          <w:rFonts w:hint="eastAsia" w:ascii="仿宋" w:hAnsi="仿宋" w:eastAsia="仿宋" w:cs="仿宋"/>
          <w:b/>
          <w:bCs/>
          <w:kern w:val="0"/>
          <w:sz w:val="32"/>
          <w:szCs w:val="32"/>
          <w:highlight w:val="none"/>
        </w:rPr>
        <w:t>项目名称：</w:t>
      </w:r>
      <w:r>
        <w:rPr>
          <w:rFonts w:hint="eastAsia" w:ascii="仿宋" w:hAnsi="仿宋" w:eastAsia="仿宋" w:cs="仿宋"/>
          <w:bCs/>
          <w:sz w:val="32"/>
          <w:szCs w:val="32"/>
          <w:lang w:val="en-US" w:eastAsia="zh-CN"/>
        </w:rPr>
        <w:t>鹤煤六矿地质动力环境评价与煤与瓦斯突出防治技术研究</w:t>
      </w:r>
    </w:p>
    <w:p>
      <w:pPr>
        <w:widowControl/>
        <w:ind w:firstLine="643" w:firstLineChars="200"/>
        <w:jc w:val="left"/>
        <w:rPr>
          <w:rFonts w:hint="eastAsia"/>
          <w:lang w:val="en-US" w:eastAsia="zh-CN"/>
        </w:rPr>
      </w:pPr>
      <w:r>
        <w:rPr>
          <w:rFonts w:hint="eastAsia" w:ascii="仿宋" w:hAnsi="仿宋" w:eastAsia="仿宋" w:cs="仿宋"/>
          <w:b/>
          <w:bCs/>
          <w:kern w:val="0"/>
          <w:sz w:val="32"/>
          <w:szCs w:val="32"/>
          <w:highlight w:val="none"/>
        </w:rPr>
        <w:t>注：</w:t>
      </w:r>
      <w:r>
        <w:rPr>
          <w:rFonts w:hint="eastAsia" w:ascii="仿宋" w:hAnsi="仿宋" w:eastAsia="仿宋" w:cs="仿宋"/>
          <w:bCs/>
          <w:sz w:val="32"/>
          <w:szCs w:val="32"/>
          <w:lang w:val="en-US" w:eastAsia="zh-CN"/>
        </w:rPr>
        <w:t>该项目为补增计划项目（豫能办〔2024〕201</w:t>
      </w:r>
      <w:bookmarkStart w:id="0" w:name="_GoBack"/>
      <w:bookmarkEnd w:id="0"/>
      <w:r>
        <w:rPr>
          <w:rFonts w:hint="eastAsia" w:ascii="仿宋" w:hAnsi="仿宋" w:eastAsia="仿宋" w:cs="仿宋"/>
          <w:bCs/>
          <w:sz w:val="32"/>
          <w:szCs w:val="32"/>
          <w:lang w:val="en-US" w:eastAsia="zh-CN"/>
        </w:rPr>
        <w:t>号）</w:t>
      </w:r>
      <w:r>
        <w:rPr>
          <w:rFonts w:hint="eastAsia" w:ascii="仿宋" w:hAnsi="仿宋" w:eastAsia="仿宋" w:cs="仿宋"/>
          <w:kern w:val="0"/>
          <w:sz w:val="32"/>
          <w:szCs w:val="32"/>
          <w:highlight w:val="none"/>
        </w:rPr>
        <w:t>，项目编号</w:t>
      </w:r>
      <w:r>
        <w:rPr>
          <w:rFonts w:hint="eastAsia" w:ascii="仿宋" w:hAnsi="仿宋" w:eastAsia="仿宋" w:cs="仿宋"/>
          <w:kern w:val="0"/>
          <w:sz w:val="32"/>
          <w:szCs w:val="32"/>
          <w:highlight w:val="none"/>
          <w:lang w:eastAsia="zh-CN"/>
        </w:rPr>
        <w:t>：</w:t>
      </w:r>
      <w:r>
        <w:rPr>
          <w:rFonts w:hint="eastAsia" w:ascii="仿宋" w:hAnsi="仿宋" w:eastAsia="仿宋" w:cs="仿宋"/>
          <w:kern w:val="0"/>
          <w:sz w:val="32"/>
          <w:szCs w:val="32"/>
          <w:highlight w:val="none"/>
        </w:rPr>
        <w:t>子课题（2024-</w:t>
      </w:r>
      <w:r>
        <w:rPr>
          <w:rFonts w:hint="eastAsia" w:ascii="仿宋" w:hAnsi="仿宋" w:eastAsia="仿宋" w:cs="仿宋"/>
          <w:kern w:val="0"/>
          <w:sz w:val="32"/>
          <w:szCs w:val="32"/>
          <w:highlight w:val="none"/>
          <w:lang w:val="en-US" w:eastAsia="zh-CN"/>
        </w:rPr>
        <w:t>40</w:t>
      </w:r>
      <w:r>
        <w:rPr>
          <w:rFonts w:hint="eastAsia" w:ascii="仿宋" w:hAnsi="仿宋" w:eastAsia="仿宋" w:cs="仿宋"/>
          <w:kern w:val="0"/>
          <w:sz w:val="32"/>
          <w:szCs w:val="32"/>
          <w:highlight w:val="none"/>
        </w:rPr>
        <w:t>）。</w:t>
      </w:r>
    </w:p>
    <w:p>
      <w:pPr>
        <w:widowControl/>
        <w:ind w:firstLine="640" w:firstLineChars="200"/>
        <w:jc w:val="left"/>
        <w:rPr>
          <w:rFonts w:hint="eastAsia" w:ascii="黑体" w:hAnsi="黑体" w:eastAsia="黑体" w:cs="黑体"/>
          <w:kern w:val="0"/>
          <w:sz w:val="32"/>
          <w:szCs w:val="32"/>
          <w:highlight w:val="none"/>
          <w:lang w:eastAsia="zh-CN"/>
        </w:rPr>
      </w:pPr>
      <w:r>
        <w:rPr>
          <w:rFonts w:hint="eastAsia" w:ascii="黑体" w:hAnsi="黑体" w:eastAsia="黑体" w:cs="黑体"/>
          <w:kern w:val="0"/>
          <w:sz w:val="32"/>
          <w:szCs w:val="32"/>
          <w:highlight w:val="none"/>
          <w:lang w:eastAsia="zh-CN"/>
        </w:rPr>
        <w:t>二、需求目标</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1.确定矿井地质动力环境类型，明确地质动力环境对煤与瓦斯突出的控制作用。</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2.确定井田地应力分布规律和能量特征，阐明应力和能量对煤与瓦斯突出的控制作用。</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3.确定煤岩动力系统对煤与瓦斯突出的影响与控制作用，建立矿井煤与瓦斯突出防治技术体系。</w:t>
      </w:r>
    </w:p>
    <w:p>
      <w:pPr>
        <w:widowControl/>
        <w:ind w:firstLine="640" w:firstLineChars="200"/>
        <w:jc w:val="left"/>
        <w:rPr>
          <w:rFonts w:hint="eastAsia" w:ascii="黑体" w:hAnsi="黑体" w:eastAsia="黑体" w:cs="黑体"/>
          <w:color w:val="FF0000"/>
          <w:kern w:val="0"/>
          <w:sz w:val="32"/>
          <w:szCs w:val="32"/>
          <w:highlight w:val="none"/>
          <w:lang w:eastAsia="zh-CN"/>
        </w:rPr>
      </w:pPr>
      <w:r>
        <w:rPr>
          <w:rFonts w:hint="eastAsia" w:ascii="黑体" w:hAnsi="黑体" w:eastAsia="黑体" w:cs="黑体"/>
          <w:kern w:val="0"/>
          <w:sz w:val="32"/>
          <w:szCs w:val="32"/>
          <w:highlight w:val="none"/>
          <w:lang w:eastAsia="zh-CN"/>
        </w:rPr>
        <w:t>三、考核指标</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1.划分矿井地质动力环境类型，确定区域构造和地应力等地质动力条件对煤与瓦斯突出的控制作用。</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2.建立煤岩动力系统，确定动力系统影响尺度和系统能量特征对煤与瓦斯突出的控制作用。</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3.应用体积式钻孔应变仪进行煤岩体应力监测，确定煤岩体应力特征对煤与瓦斯突出的控制作用。</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4.研发上覆岩层卸压目标层的断顶爆破卸压技术方法和工艺参数，优化矿井煤与瓦斯突出防治技术体系。</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5.发表防治煤与瓦斯突出专业期刊论文3篇，申请防治煤与瓦斯突出行业发明专利2项。</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6.项目完成后经过第三方鉴定达到国内先进水平，申报河南能源科技进步奖一等奖。</w:t>
      </w:r>
    </w:p>
    <w:p>
      <w:pPr>
        <w:widowControl/>
        <w:ind w:firstLine="640" w:firstLineChars="200"/>
        <w:jc w:val="left"/>
        <w:rPr>
          <w:rFonts w:hint="eastAsia" w:ascii="黑体" w:hAnsi="黑体" w:eastAsia="黑体" w:cs="黑体"/>
          <w:kern w:val="0"/>
          <w:sz w:val="32"/>
          <w:szCs w:val="32"/>
          <w:highlight w:val="none"/>
          <w:lang w:eastAsia="zh-CN"/>
        </w:rPr>
      </w:pPr>
      <w:r>
        <w:rPr>
          <w:rFonts w:hint="eastAsia" w:ascii="黑体" w:hAnsi="黑体" w:eastAsia="黑体" w:cs="黑体"/>
          <w:kern w:val="0"/>
          <w:sz w:val="32"/>
          <w:szCs w:val="32"/>
          <w:highlight w:val="none"/>
          <w:lang w:eastAsia="zh-CN"/>
        </w:rPr>
        <w:t>四、实施期限</w:t>
      </w:r>
    </w:p>
    <w:p>
      <w:pPr>
        <w:widowControl/>
        <w:ind w:firstLine="640" w:firstLineChars="200"/>
        <w:rPr>
          <w:rFonts w:hint="default" w:ascii="仿宋" w:hAnsi="仿宋" w:eastAsia="仿宋" w:cs="仿宋"/>
          <w:bCs/>
          <w:sz w:val="32"/>
          <w:szCs w:val="32"/>
          <w:lang w:val="en-US" w:eastAsia="zh-CN"/>
        </w:rPr>
      </w:pPr>
      <w:r>
        <w:rPr>
          <w:rFonts w:hint="default" w:ascii="仿宋" w:hAnsi="仿宋" w:eastAsia="仿宋" w:cs="仿宋"/>
          <w:bCs/>
          <w:sz w:val="32"/>
          <w:szCs w:val="32"/>
          <w:lang w:val="en-US" w:eastAsia="zh-CN"/>
        </w:rPr>
        <w:t>2025</w:t>
      </w:r>
      <w:r>
        <w:rPr>
          <w:rFonts w:hint="eastAsia" w:ascii="仿宋" w:hAnsi="仿宋" w:eastAsia="仿宋" w:cs="仿宋"/>
          <w:bCs/>
          <w:sz w:val="32"/>
          <w:szCs w:val="32"/>
          <w:lang w:val="en-US" w:eastAsia="zh-CN"/>
        </w:rPr>
        <w:t>年</w:t>
      </w:r>
      <w:r>
        <w:rPr>
          <w:rFonts w:hint="default" w:ascii="仿宋" w:hAnsi="仿宋" w:eastAsia="仿宋" w:cs="仿宋"/>
          <w:bCs/>
          <w:sz w:val="32"/>
          <w:szCs w:val="32"/>
          <w:lang w:val="en-US" w:eastAsia="zh-CN"/>
        </w:rPr>
        <w:t>12</w:t>
      </w:r>
      <w:r>
        <w:rPr>
          <w:rFonts w:hint="eastAsia" w:ascii="仿宋" w:hAnsi="仿宋" w:eastAsia="仿宋" w:cs="仿宋"/>
          <w:bCs/>
          <w:sz w:val="32"/>
          <w:szCs w:val="32"/>
          <w:lang w:val="en-US" w:eastAsia="zh-CN"/>
        </w:rPr>
        <w:t>月之前。</w:t>
      </w:r>
    </w:p>
    <w:p>
      <w:pPr>
        <w:widowControl/>
        <w:ind w:firstLine="640" w:firstLineChars="200"/>
        <w:jc w:val="left"/>
        <w:rPr>
          <w:rFonts w:hint="eastAsia" w:ascii="黑体" w:hAnsi="黑体" w:eastAsia="黑体" w:cs="黑体"/>
          <w:kern w:val="0"/>
          <w:sz w:val="32"/>
          <w:szCs w:val="32"/>
          <w:highlight w:val="none"/>
          <w:lang w:eastAsia="zh-CN"/>
        </w:rPr>
      </w:pPr>
      <w:r>
        <w:rPr>
          <w:rFonts w:hint="eastAsia" w:ascii="黑体" w:hAnsi="黑体" w:eastAsia="黑体" w:cs="黑体"/>
          <w:kern w:val="0"/>
          <w:sz w:val="32"/>
          <w:szCs w:val="32"/>
          <w:highlight w:val="none"/>
          <w:lang w:val="en-US" w:eastAsia="zh-CN"/>
        </w:rPr>
        <w:t>五、</w:t>
      </w:r>
      <w:r>
        <w:rPr>
          <w:rFonts w:hint="eastAsia" w:ascii="黑体" w:hAnsi="黑体" w:eastAsia="黑体" w:cs="黑体"/>
          <w:kern w:val="0"/>
          <w:sz w:val="32"/>
          <w:szCs w:val="32"/>
          <w:highlight w:val="none"/>
          <w:lang w:eastAsia="zh-CN"/>
        </w:rPr>
        <w:t>榜单限额</w:t>
      </w:r>
    </w:p>
    <w:p>
      <w:pPr>
        <w:ind w:firstLine="640" w:firstLineChars="200"/>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委外研究费用不超过225万元。</w:t>
      </w:r>
    </w:p>
    <w:p>
      <w:pPr>
        <w:widowControl/>
        <w:ind w:firstLine="640" w:firstLineChars="200"/>
        <w:jc w:val="left"/>
        <w:rPr>
          <w:rFonts w:hint="eastAsia" w:ascii="黑体" w:hAnsi="黑体" w:eastAsia="黑体" w:cs="黑体"/>
          <w:kern w:val="0"/>
          <w:sz w:val="32"/>
          <w:szCs w:val="32"/>
          <w:highlight w:val="none"/>
          <w:lang w:val="en-US" w:eastAsia="zh-CN" w:bidi="ar-SA"/>
        </w:rPr>
      </w:pPr>
      <w:r>
        <w:rPr>
          <w:rFonts w:hint="eastAsia" w:ascii="黑体" w:hAnsi="黑体" w:eastAsia="黑体" w:cs="黑体"/>
          <w:kern w:val="0"/>
          <w:sz w:val="32"/>
          <w:szCs w:val="32"/>
          <w:highlight w:val="none"/>
          <w:lang w:val="en-US" w:eastAsia="zh-CN" w:bidi="ar-SA"/>
        </w:rPr>
        <w:t>六、揭榜方条件</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揭榜方所在单位具备良好的工作基础、实验条件和科研环境，有较强的研发实力、科研条件和稳定的人员队伍等，有能力完成张榜任务；具有良好的科研道德和社会诚信，近3年内无不良信用记录；一般近五年内应承担过国家和省、行业重点科技攻关项目1项，或取得过国家和省部级、行业级科学技术奖1项，或在类似技术方面有重大突破，取得了一定的知识产权，并具有一定的持续发展能力。</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揭榜方挂帅者实行“谁有能力谁就揭榜挂帅”的原则。挂帅者作为研发团队带头人，无年龄、学历和职称要求，但应在相关学科技术领域中已取得较为突出的创新成果，有良好的科学道德和严谨的学风，能对张榜项目需求给出攻克关键核心技术的可行方案，掌握自主知识产权，对本学科领域的发展具有重要推动作用，有时间和精力从事揭榜项目研究工作。</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揭榜方参与本项目的科研团队除挂帅者之外一般应有至少1名副高级职称或博士学位的核心人员（特别优秀创新人才不受限制），专业结构合理。团队研究方向和主要研究课题符合集团公司发展领域和优势产业发展的要求，已取得突出成绩或具有明显的创新潜力。</w:t>
      </w:r>
    </w:p>
    <w:p>
      <w:pPr>
        <w:pStyle w:val="17"/>
        <w:numPr>
          <w:ilvl w:val="0"/>
          <w:numId w:val="0"/>
        </w:numPr>
        <w:spacing w:line="360" w:lineRule="auto"/>
        <w:ind w:leftChars="200" w:right="113" w:rightChars="0"/>
        <w:rPr>
          <w:rFonts w:hint="eastAsia" w:ascii="黑体" w:hAnsi="黑体" w:eastAsia="黑体" w:cs="黑体"/>
          <w:kern w:val="0"/>
          <w:sz w:val="32"/>
          <w:szCs w:val="32"/>
          <w:highlight w:val="none"/>
          <w:lang w:val="en-US" w:eastAsia="zh-CN" w:bidi="ar-SA"/>
        </w:rPr>
      </w:pPr>
      <w:r>
        <w:rPr>
          <w:rFonts w:hint="eastAsia" w:ascii="黑体" w:hAnsi="黑体" w:eastAsia="黑体" w:cs="黑体"/>
          <w:kern w:val="0"/>
          <w:sz w:val="32"/>
          <w:szCs w:val="32"/>
          <w:highlight w:val="none"/>
          <w:lang w:val="en-US" w:eastAsia="zh-CN" w:bidi="ar-SA"/>
        </w:rPr>
        <w:t>七、知识产权归属及利益分配</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1.专著或软著：第一完成单位为鹤煤六矿。</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2.论文：第一作者为鹤煤六煤矿相关人员。</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3.科技成果：鉴定成果的第一完成单位为鹤煤六矿，完成人员名次协商确定。</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4.本项目产生利益均归属鹤煤六矿。</w:t>
      </w:r>
    </w:p>
    <w:p>
      <w:pPr>
        <w:ind w:firstLine="640" w:firstLineChars="200"/>
        <w:rPr>
          <w:rFonts w:hint="eastAsia" w:ascii="黑体" w:hAnsi="黑体" w:eastAsia="黑体" w:cs="黑体"/>
          <w:kern w:val="0"/>
          <w:sz w:val="32"/>
          <w:szCs w:val="32"/>
          <w:highlight w:val="none"/>
          <w:lang w:val="en-US" w:eastAsia="zh-CN" w:bidi="ar-SA"/>
        </w:rPr>
      </w:pPr>
      <w:r>
        <w:rPr>
          <w:rFonts w:hint="eastAsia" w:ascii="黑体" w:hAnsi="黑体" w:eastAsia="黑体" w:cs="黑体"/>
          <w:kern w:val="0"/>
          <w:sz w:val="32"/>
          <w:szCs w:val="32"/>
          <w:highlight w:val="none"/>
          <w:lang w:val="en-US" w:eastAsia="zh-CN" w:bidi="ar-SA"/>
        </w:rPr>
        <w:t>八、预期成果</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1.形成一套适宜于鹤煤六矿的矿井煤与瓦斯突出防治技术体系，提交项目研究报告8份。</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2.</w:t>
      </w:r>
      <w:r>
        <w:rPr>
          <w:rFonts w:hint="eastAsia" w:ascii="仿宋" w:hAnsi="仿宋" w:eastAsia="仿宋" w:cs="仿宋"/>
          <w:bCs/>
          <w:sz w:val="32"/>
          <w:szCs w:val="32"/>
          <w:highlight w:val="none"/>
          <w:lang w:val="en-US" w:eastAsia="zh-CN"/>
        </w:rPr>
        <w:t>发表防治煤与瓦斯突出专业期刊论文3篇，申请防治煤与瓦斯突出行业发明专利2项。</w:t>
      </w:r>
    </w:p>
    <w:p>
      <w:pPr>
        <w:autoSpaceDE w:val="0"/>
        <w:autoSpaceDN w:val="0"/>
        <w:adjustRightInd w:val="0"/>
        <w:spacing w:line="360" w:lineRule="auto"/>
        <w:ind w:firstLine="640" w:firstLineChars="200"/>
        <w:rPr>
          <w:rFonts w:hint="eastAsia" w:ascii="黑体" w:hAnsi="黑体" w:eastAsia="黑体" w:cs="黑体"/>
          <w:kern w:val="0"/>
          <w:sz w:val="32"/>
          <w:szCs w:val="32"/>
          <w:highlight w:val="none"/>
          <w:lang w:val="en-US" w:eastAsia="zh-CN" w:bidi="ar-SA"/>
        </w:rPr>
      </w:pPr>
      <w:r>
        <w:rPr>
          <w:rFonts w:hint="eastAsia" w:ascii="黑体" w:hAnsi="黑体" w:eastAsia="黑体" w:cs="黑体"/>
          <w:kern w:val="0"/>
          <w:sz w:val="32"/>
          <w:szCs w:val="32"/>
          <w:highlight w:val="none"/>
          <w:lang w:val="en-US" w:eastAsia="zh-CN" w:bidi="ar-SA"/>
        </w:rPr>
        <w:t>九、应用场景</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突出矿井地质环境复杂、应力集中、原始压力较大地区的防治煤与瓦斯突出的场景。</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8C8CF5D-CD4E-4E55-8803-A89DB3FE3E7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4BAA911-4D1D-43BE-A970-DB09AFDBB326}"/>
  </w:font>
  <w:font w:name="Ari">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embedRegular r:id="rId3" w:fontKey="{9C7ED286-D05A-46F2-865C-76FA639249D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5ODRkODY3ZDFhYjE5NzJhYjU2YTFjNmY1NGI0NmUifQ=="/>
    <w:docVar w:name="KSO_WPS_MARK_KEY" w:val="d38585ef-d3df-4b95-95cc-54ed67ac37a3"/>
  </w:docVars>
  <w:rsids>
    <w:rsidRoot w:val="00000000"/>
    <w:rsid w:val="03602E4B"/>
    <w:rsid w:val="055C30DB"/>
    <w:rsid w:val="0C994AB9"/>
    <w:rsid w:val="0D705BFF"/>
    <w:rsid w:val="14AD6B55"/>
    <w:rsid w:val="14D52C06"/>
    <w:rsid w:val="1B670D90"/>
    <w:rsid w:val="20246B73"/>
    <w:rsid w:val="229E6399"/>
    <w:rsid w:val="292875F4"/>
    <w:rsid w:val="2B4C5CF9"/>
    <w:rsid w:val="2BA9298C"/>
    <w:rsid w:val="2FD7142C"/>
    <w:rsid w:val="39A945BD"/>
    <w:rsid w:val="3C237B76"/>
    <w:rsid w:val="4224068F"/>
    <w:rsid w:val="42355265"/>
    <w:rsid w:val="42E6653D"/>
    <w:rsid w:val="45050ABD"/>
    <w:rsid w:val="46103030"/>
    <w:rsid w:val="4ADA20A4"/>
    <w:rsid w:val="4B9A18B9"/>
    <w:rsid w:val="58EB1C93"/>
    <w:rsid w:val="5AF45312"/>
    <w:rsid w:val="61BF298C"/>
    <w:rsid w:val="640D73CE"/>
    <w:rsid w:val="66703465"/>
    <w:rsid w:val="66BC1C5F"/>
    <w:rsid w:val="6E0F7EB4"/>
    <w:rsid w:val="6F5A2F04"/>
    <w:rsid w:val="7BE60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16">
    <w:name w:val="Default Paragraph Font"/>
    <w:qFormat/>
    <w:uiPriority w:val="0"/>
  </w:style>
  <w:style w:type="table" w:default="1" w:styleId="14">
    <w:name w:val="Normal Table"/>
    <w:qFormat/>
    <w:uiPriority w:val="0"/>
    <w:tblPr>
      <w:tblCellMar>
        <w:top w:w="0" w:type="dxa"/>
        <w:left w:w="108" w:type="dxa"/>
        <w:bottom w:w="0" w:type="dxa"/>
        <w:right w:w="108" w:type="dxa"/>
      </w:tblCellMar>
    </w:tblPr>
  </w:style>
  <w:style w:type="paragraph" w:customStyle="1" w:styleId="2">
    <w:name w:val="UserStyle_0"/>
    <w:basedOn w:val="3"/>
    <w:next w:val="3"/>
    <w:qFormat/>
    <w:uiPriority w:val="0"/>
    <w:pPr>
      <w:textAlignment w:val="baseline"/>
    </w:pPr>
  </w:style>
  <w:style w:type="paragraph" w:customStyle="1" w:styleId="3">
    <w:name w:val="UserStyle_1"/>
    <w:basedOn w:val="4"/>
    <w:next w:val="11"/>
    <w:qFormat/>
    <w:uiPriority w:val="0"/>
    <w:pPr>
      <w:spacing w:after="120"/>
      <w:ind w:left="420" w:leftChars="200"/>
    </w:pPr>
  </w:style>
  <w:style w:type="paragraph" w:customStyle="1" w:styleId="4">
    <w:name w:val="正文 New New New New New New New New New New New New New New New"/>
    <w:next w:val="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
    <w:name w:val="Body Text First Indent 22"/>
    <w:basedOn w:val="6"/>
    <w:next w:val="8"/>
    <w:qFormat/>
    <w:uiPriority w:val="0"/>
    <w:pPr>
      <w:ind w:firstLine="420" w:firstLineChars="200"/>
    </w:pPr>
  </w:style>
  <w:style w:type="paragraph" w:customStyle="1" w:styleId="6">
    <w:name w:val="Body Text Indent2"/>
    <w:basedOn w:val="1"/>
    <w:next w:val="7"/>
    <w:qFormat/>
    <w:uiPriority w:val="0"/>
    <w:pPr>
      <w:spacing w:after="120"/>
      <w:ind w:left="420" w:leftChars="200"/>
    </w:pPr>
  </w:style>
  <w:style w:type="paragraph" w:customStyle="1" w:styleId="7">
    <w:name w:val="index 72"/>
    <w:basedOn w:val="1"/>
    <w:next w:val="4"/>
    <w:qFormat/>
    <w:uiPriority w:val="0"/>
    <w:pPr>
      <w:ind w:left="2520"/>
    </w:pPr>
  </w:style>
  <w:style w:type="paragraph" w:customStyle="1" w:styleId="8">
    <w:name w:val="正文首行缩进2"/>
    <w:basedOn w:val="9"/>
    <w:next w:val="5"/>
    <w:qFormat/>
    <w:uiPriority w:val="0"/>
    <w:pPr>
      <w:ind w:firstLine="420" w:firstLineChars="100"/>
    </w:pPr>
  </w:style>
  <w:style w:type="paragraph" w:customStyle="1" w:styleId="9">
    <w:name w:val="正文文本 New New"/>
    <w:basedOn w:val="4"/>
    <w:next w:val="10"/>
    <w:qFormat/>
    <w:uiPriority w:val="0"/>
    <w:pPr>
      <w:spacing w:after="120"/>
    </w:pPr>
  </w:style>
  <w:style w:type="paragraph" w:customStyle="1" w:styleId="10">
    <w:name w:val="正文文本 21"/>
    <w:basedOn w:val="4"/>
    <w:qFormat/>
    <w:uiPriority w:val="0"/>
    <w:pPr>
      <w:spacing w:after="120" w:line="480" w:lineRule="auto"/>
    </w:pPr>
    <w:rPr>
      <w:rFonts w:ascii="Arial" w:hAnsi="Arial"/>
    </w:rPr>
  </w:style>
  <w:style w:type="paragraph" w:customStyle="1" w:styleId="11">
    <w:name w:val="UserStyle_2"/>
    <w:basedOn w:val="1"/>
    <w:next w:val="1"/>
    <w:qFormat/>
    <w:uiPriority w:val="0"/>
    <w:pPr>
      <w:ind w:left="1200" w:leftChars="1200"/>
      <w:textAlignment w:val="baseline"/>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表格"/>
    <w:qFormat/>
    <w:uiPriority w:val="99"/>
    <w:pPr>
      <w:widowControl w:val="0"/>
      <w:adjustRightInd w:val="0"/>
      <w:snapToGrid w:val="0"/>
      <w:ind w:left="2" w:leftChars="1" w:right="113"/>
      <w:jc w:val="both"/>
    </w:pPr>
    <w:rPr>
      <w:rFonts w:ascii="Ari" w:hAnsi="Ari"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1186</Words>
  <Characters>1220</Characters>
  <Paragraphs>32</Paragraphs>
  <TotalTime>19</TotalTime>
  <ScaleCrop>false</ScaleCrop>
  <LinksUpToDate>false</LinksUpToDate>
  <CharactersWithSpaces>1223</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2024-04-04T02:47:00Z</dcterms:created>
  <dc:creator>Administrator.SC-201906101832</dc:creator>
  <cp:lastModifiedBy>郝娅小A</cp:lastModifiedBy>
  <dcterms:modified xsi:type="dcterms:W3CDTF">2024-06-05T09:04:56Z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D975C14FAA444352A3A2BBD401273FAD_13</vt:lpwstr>
  </property>
</Properties>
</file>